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hint="eastAsia" w:ascii="仿宋_GB2312" w:eastAsia="仿宋_GB2312"/>
          <w:sz w:val="32"/>
          <w:szCs w:val="32"/>
        </w:rPr>
      </w:pPr>
    </w:p>
    <w:p>
      <w:pPr>
        <w:spacing w:line="600" w:lineRule="exact"/>
        <w:jc w:val="center"/>
        <w:rPr>
          <w:rFonts w:hint="eastAsia" w:ascii="宋体"/>
          <w:b/>
          <w:sz w:val="44"/>
          <w:szCs w:val="44"/>
        </w:rPr>
      </w:pPr>
      <w:r>
        <w:rPr>
          <w:rFonts w:hint="eastAsia" w:ascii="宋体" w:hAnsi="宋体"/>
          <w:b/>
          <w:sz w:val="44"/>
          <w:szCs w:val="44"/>
        </w:rPr>
        <w:t>浮山县</w:t>
      </w:r>
      <w:r>
        <w:rPr>
          <w:rFonts w:hint="eastAsia" w:ascii="宋体" w:hAnsi="宋体"/>
          <w:b/>
          <w:sz w:val="44"/>
          <w:szCs w:val="44"/>
          <w:lang w:val="en-US" w:eastAsia="zh-CN"/>
        </w:rPr>
        <w:t>统计</w:t>
      </w:r>
      <w:r>
        <w:rPr>
          <w:rFonts w:hint="eastAsia" w:ascii="宋体" w:hAnsi="宋体"/>
          <w:b/>
          <w:sz w:val="44"/>
          <w:szCs w:val="44"/>
        </w:rPr>
        <w:t>局2019年度部门预算信息公开</w:t>
      </w: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r>
        <w:rPr>
          <w:rFonts w:hint="eastAsia" w:ascii="黑体" w:eastAsia="黑体"/>
          <w:sz w:val="32"/>
          <w:szCs w:val="32"/>
        </w:rPr>
        <w:t>第一部分概况</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一、基本情况(包括机构设置情况）</w:t>
      </w:r>
    </w:p>
    <w:p>
      <w:pPr>
        <w:spacing w:line="620" w:lineRule="exact"/>
        <w:ind w:firstLine="640" w:firstLineChars="200"/>
        <w:rPr>
          <w:rFonts w:ascii="仿宋_GB2312" w:hAnsi="新宋体" w:eastAsia="仿宋_GB2312"/>
          <w:sz w:val="32"/>
          <w:szCs w:val="32"/>
        </w:rPr>
      </w:pPr>
      <w:r>
        <w:rPr>
          <w:rFonts w:hint="eastAsia" w:ascii="仿宋_GB2312" w:hAnsi="新宋体" w:eastAsia="仿宋_GB2312"/>
          <w:color w:val="000000"/>
          <w:sz w:val="32"/>
          <w:szCs w:val="32"/>
        </w:rPr>
        <w:t>浮山县统计局为县政府直属一级行政单位</w:t>
      </w:r>
      <w:r>
        <w:rPr>
          <w:rFonts w:hint="eastAsia" w:ascii="仿宋_GB2312" w:hAnsi="新宋体" w:eastAsia="仿宋_GB2312"/>
          <w:sz w:val="32"/>
          <w:szCs w:val="32"/>
        </w:rPr>
        <w:t>，</w:t>
      </w:r>
      <w:r>
        <w:rPr>
          <w:rFonts w:hint="eastAsia" w:ascii="仿宋_GB2312" w:hAnsi="新宋体" w:eastAsia="仿宋_GB2312" w:cs="仿宋_GB2312"/>
          <w:color w:val="000000"/>
          <w:sz w:val="32"/>
          <w:szCs w:val="32"/>
          <w:shd w:val="clear" w:color="auto" w:fill="FFFFFF"/>
        </w:rPr>
        <w:t>位于浮山县天坛东路</w:t>
      </w:r>
      <w:r>
        <w:rPr>
          <w:rFonts w:hint="eastAsia" w:ascii="仿宋_GB2312" w:hAnsi="新宋体" w:eastAsia="仿宋_GB2312"/>
          <w:color w:val="000000"/>
          <w:sz w:val="32"/>
          <w:szCs w:val="32"/>
        </w:rPr>
        <w:t>153</w:t>
      </w:r>
      <w:r>
        <w:rPr>
          <w:rFonts w:hint="eastAsia" w:ascii="仿宋_GB2312" w:hAnsi="新宋体" w:eastAsia="仿宋_GB2312" w:cs="仿宋_GB2312"/>
          <w:color w:val="000000"/>
          <w:sz w:val="32"/>
          <w:szCs w:val="32"/>
          <w:shd w:val="clear" w:color="auto" w:fill="FFFFFF"/>
        </w:rPr>
        <w:t>号。</w:t>
      </w:r>
      <w:r>
        <w:rPr>
          <w:rFonts w:hint="eastAsia" w:ascii="仿宋_GB2312" w:hAnsi="新宋体" w:eastAsia="仿宋_GB2312"/>
          <w:color w:val="000000"/>
          <w:sz w:val="32"/>
          <w:szCs w:val="32"/>
        </w:rPr>
        <w:t>我单位为全额拨款行政单位，经县人民政府批准，县统计局设2个内设机构，办公室和综合统计股。机关行政编制7名，其中：局长1名，副局长2名，总统计师1名，纪检组长1名，股级领导职数2名。另行核定工勤编制1名。全额事业19名。普查中心5名，执法大队5名，农村调查队4名，城市调查队2名，企业调查队3名。实际在册人员29名，其中：行政8名，工勤1人，全额事业20名。另有退休人员3名，遗属补助2名。</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二、主要职能</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1、制定全县性统计调查规划、组织领导和综合协调辖区单位的统计报表填报和国民经济核算工作，监督检查统计法律、法规的实施，确保统计数据的真实、准确、及时。</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2、根据国家宏观管理和科学的需要，建立健全全县国民经济核算体系、统计指标体系和统计调查体系，组织执行全国统计的基层报表制度和统计标准。</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3、在县委县政府的领导下，组织各项重大国情国力调查。</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4、统一组织协调各乡镇、各部门的社会经济调查，审查各乡镇、各部门的统计调查情况，组织全县统计报表的管理工作。</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5、搜索整理全县的基本统计资料、并进行统计分析预测和监督考核、向政府和社会各界提供咨询。</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6、建立健全统计执法检查制度和数据质量评估制度，保证统计数据准确。</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7、统一核定、管理、公布、出版全县性的基本统计资料，定期发布全县统计经济和社会发展情况的统计公报。</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8、建立健全和管理全县统计信息自动化系统和数据库体系。</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9、贯彻落实上级部门关于统计体制改革方案和实施办法。</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10、承担县人民政府交办的其他事项。</w:t>
      </w:r>
    </w:p>
    <w:p>
      <w:pPr>
        <w:spacing w:line="600" w:lineRule="exact"/>
        <w:jc w:val="center"/>
        <w:rPr>
          <w:rFonts w:hint="eastAsia" w:ascii="黑体" w:eastAsia="黑体"/>
          <w:sz w:val="32"/>
          <w:szCs w:val="32"/>
        </w:rPr>
      </w:pPr>
      <w:r>
        <w:rPr>
          <w:rFonts w:hint="eastAsia" w:ascii="黑体" w:eastAsia="黑体"/>
          <w:sz w:val="32"/>
          <w:szCs w:val="32"/>
        </w:rPr>
        <w:t>第二部分2019年度部门预算报表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统计局</w:t>
      </w:r>
      <w:r>
        <w:rPr>
          <w:rFonts w:hint="eastAsia" w:ascii="仿宋_GB2312" w:eastAsia="仿宋_GB2312"/>
          <w:sz w:val="32"/>
          <w:szCs w:val="32"/>
        </w:rPr>
        <w:t>2019年预算收支总表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统计局</w:t>
      </w:r>
      <w:r>
        <w:rPr>
          <w:rFonts w:hint="eastAsia" w:ascii="仿宋_GB2312" w:eastAsia="仿宋_GB2312"/>
          <w:sz w:val="32"/>
          <w:szCs w:val="32"/>
        </w:rPr>
        <w:t>2019年预算收入总表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统计局</w:t>
      </w:r>
      <w:r>
        <w:rPr>
          <w:rFonts w:hint="eastAsia" w:ascii="仿宋_GB2312" w:eastAsia="仿宋_GB2312"/>
          <w:sz w:val="32"/>
          <w:szCs w:val="32"/>
        </w:rPr>
        <w:t>2019年预算支出总表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统计局</w:t>
      </w:r>
      <w:r>
        <w:rPr>
          <w:rFonts w:hint="eastAsia" w:ascii="仿宋_GB2312" w:eastAsia="仿宋_GB2312"/>
          <w:sz w:val="32"/>
          <w:szCs w:val="32"/>
        </w:rPr>
        <w:t>2019年财政拨款收支总表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统计局</w:t>
      </w:r>
      <w:r>
        <w:rPr>
          <w:rFonts w:hint="eastAsia" w:ascii="仿宋_GB2312" w:eastAsia="仿宋_GB2312"/>
          <w:sz w:val="32"/>
          <w:szCs w:val="32"/>
        </w:rPr>
        <w:t>2019年一般公共预算支出预算表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统计局</w:t>
      </w:r>
      <w:r>
        <w:rPr>
          <w:rFonts w:hint="eastAsia" w:ascii="仿宋_GB2312" w:eastAsia="仿宋_GB2312"/>
          <w:sz w:val="32"/>
          <w:szCs w:val="32"/>
        </w:rPr>
        <w:t>2019年一般公共预算安排基本支出分经济科目表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统计局</w:t>
      </w:r>
      <w:r>
        <w:rPr>
          <w:rFonts w:hint="eastAsia" w:ascii="仿宋_GB2312" w:eastAsia="仿宋_GB2312"/>
          <w:sz w:val="32"/>
          <w:szCs w:val="32"/>
        </w:rPr>
        <w:t>2019年政府性基金预算收入预算表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统计局</w:t>
      </w:r>
      <w:r>
        <w:rPr>
          <w:rFonts w:hint="eastAsia" w:ascii="仿宋_GB2312" w:eastAsia="仿宋_GB2312"/>
          <w:sz w:val="32"/>
          <w:szCs w:val="32"/>
        </w:rPr>
        <w:t>2019年政府性基金预算支出预算表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统计局</w:t>
      </w:r>
      <w:r>
        <w:rPr>
          <w:rFonts w:hint="eastAsia" w:ascii="仿宋_GB2312" w:eastAsia="仿宋_GB2312"/>
          <w:sz w:val="32"/>
          <w:szCs w:val="32"/>
        </w:rPr>
        <w:t>2019年“三公”经费预算财政拨款情况统计表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统计局</w:t>
      </w:r>
      <w:r>
        <w:rPr>
          <w:rFonts w:hint="eastAsia" w:ascii="仿宋_GB2312" w:eastAsia="仿宋_GB2312"/>
          <w:sz w:val="32"/>
          <w:szCs w:val="32"/>
        </w:rPr>
        <w:t>2019年机关运行经费预算财政拨款情况统计表</w:t>
      </w:r>
    </w:p>
    <w:p>
      <w:pPr>
        <w:spacing w:line="600" w:lineRule="exact"/>
        <w:jc w:val="center"/>
        <w:rPr>
          <w:rFonts w:hint="eastAsia" w:ascii="黑体" w:eastAsia="黑体"/>
          <w:sz w:val="32"/>
          <w:szCs w:val="32"/>
        </w:rPr>
      </w:pPr>
      <w:r>
        <w:rPr>
          <w:rFonts w:hint="eastAsia" w:ascii="黑体" w:eastAsia="黑体"/>
          <w:sz w:val="32"/>
          <w:szCs w:val="32"/>
        </w:rPr>
        <w:t>第三部分2019年度部门预算情况说明</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hint="eastAsia" w:ascii="仿宋_GB2312" w:eastAsia="仿宋_GB2312"/>
          <w:sz w:val="32"/>
          <w:szCs w:val="32"/>
        </w:rPr>
      </w:pPr>
      <w:r>
        <w:rPr>
          <w:rFonts w:hint="eastAsia" w:ascii="仿宋_GB2312" w:eastAsia="仿宋_GB2312"/>
          <w:sz w:val="32"/>
          <w:szCs w:val="32"/>
        </w:rPr>
        <w:t>浮山县统计局2019年部门预算294.8万元，比2018年预算增加29.3万元。其中：工资福利支出比2018年增加了19.9万元，增加原因为人员增加，扣除了养老保险和职业年金，机关职工工资福利提高了标准。商品和服务支出比2018年增加了0.7万元，增加原因为人员增加，工会经费和福利费提高。对个人和家庭补助支出比2018年增加了1.8万元。项目支出2019年比2018年预算增加6.9万元。</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2019年一般公共预算安排的“三公”经费预算0.4万元，比2018年减少15.2万元。其中：因公出国（境）费用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万元，比上年无变化；公务接待费0万元，比上年无变化，公务用车运行维护费0万元，比上年无变化；公务用车购置费</w:t>
      </w:r>
      <w:r>
        <w:rPr>
          <w:rFonts w:ascii="仿宋_GB2312" w:eastAsia="仿宋_GB2312"/>
          <w:sz w:val="32"/>
          <w:szCs w:val="32"/>
        </w:rPr>
        <w:t>0</w:t>
      </w:r>
      <w:r>
        <w:rPr>
          <w:rFonts w:hint="eastAsia" w:ascii="仿宋_GB2312" w:eastAsia="仿宋_GB2312"/>
          <w:sz w:val="32"/>
          <w:szCs w:val="32"/>
        </w:rPr>
        <w:t>元，比上年无变化。培训为0.4万元。上年培训费11.9万元，会议费3.7万元。比2018年减少15.2万元。主要原因是第四次全国经济普查培训减少。</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浮山县统计局2019年运行经费财政拨款预算20.5万元，比2018年预算增加0.7万元，增长3.53</w:t>
      </w:r>
      <w:r>
        <w:rPr>
          <w:rFonts w:ascii="仿宋_GB2312" w:eastAsia="仿宋_GB2312"/>
          <w:sz w:val="32"/>
          <w:szCs w:val="32"/>
        </w:rPr>
        <w:t>%,</w:t>
      </w:r>
      <w:r>
        <w:rPr>
          <w:rFonts w:hint="eastAsia" w:ascii="仿宋_GB2312" w:eastAsia="仿宋_GB2312"/>
          <w:sz w:val="32"/>
          <w:szCs w:val="32"/>
        </w:rPr>
        <w:t>原因是人员增加，工会经费和福利费提高。</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2019年浮山县统计局</w:t>
      </w:r>
      <w:r>
        <w:rPr>
          <w:rFonts w:hint="eastAsia" w:ascii="仿宋_GB2312" w:hAnsi="仿宋" w:eastAsia="仿宋_GB2312"/>
          <w:kern w:val="0"/>
          <w:sz w:val="32"/>
          <w:szCs w:val="32"/>
        </w:rPr>
        <w:t>基本支出中</w:t>
      </w:r>
      <w:r>
        <w:rPr>
          <w:rFonts w:hint="eastAsia" w:ascii="仿宋_GB2312" w:eastAsia="仿宋_GB2312"/>
          <w:sz w:val="32"/>
          <w:szCs w:val="32"/>
        </w:rPr>
        <w:t>无政府采购。</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日，本单位固定资产年末数108.2万元。本单位无车辆。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2019年部门预算我单位项目支出6.9万元。</w:t>
      </w:r>
    </w:p>
    <w:p>
      <w:pPr>
        <w:spacing w:line="600" w:lineRule="exact"/>
        <w:jc w:val="center"/>
        <w:rPr>
          <w:rFonts w:hint="eastAsia" w:ascii="黑体" w:eastAsia="黑体"/>
          <w:sz w:val="32"/>
          <w:szCs w:val="32"/>
        </w:rPr>
      </w:pPr>
      <w:r>
        <w:rPr>
          <w:rFonts w:hint="eastAsia" w:ascii="黑体" w:eastAsia="黑体"/>
          <w:sz w:val="32"/>
          <w:szCs w:val="32"/>
        </w:rPr>
        <w:t>第四部分名词解释</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hint="eastAsia"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0C3A51"/>
    <w:rsid w:val="00120BF5"/>
    <w:rsid w:val="001423F1"/>
    <w:rsid w:val="001E360E"/>
    <w:rsid w:val="00211784"/>
    <w:rsid w:val="00246095"/>
    <w:rsid w:val="002505BA"/>
    <w:rsid w:val="002650F6"/>
    <w:rsid w:val="002D7777"/>
    <w:rsid w:val="003344EF"/>
    <w:rsid w:val="00345C15"/>
    <w:rsid w:val="00393481"/>
    <w:rsid w:val="003B6BDC"/>
    <w:rsid w:val="0040257E"/>
    <w:rsid w:val="00485E43"/>
    <w:rsid w:val="004C0B7C"/>
    <w:rsid w:val="005914FF"/>
    <w:rsid w:val="00593F23"/>
    <w:rsid w:val="005E63F3"/>
    <w:rsid w:val="005E6F9D"/>
    <w:rsid w:val="005E71C2"/>
    <w:rsid w:val="006407A1"/>
    <w:rsid w:val="006726F2"/>
    <w:rsid w:val="006943D6"/>
    <w:rsid w:val="007636CB"/>
    <w:rsid w:val="00795B78"/>
    <w:rsid w:val="007D3BF3"/>
    <w:rsid w:val="0082011A"/>
    <w:rsid w:val="0091609A"/>
    <w:rsid w:val="009276F1"/>
    <w:rsid w:val="00944474"/>
    <w:rsid w:val="00975919"/>
    <w:rsid w:val="00980A21"/>
    <w:rsid w:val="009840B4"/>
    <w:rsid w:val="00987CA2"/>
    <w:rsid w:val="009921FF"/>
    <w:rsid w:val="009A5464"/>
    <w:rsid w:val="00A31A4C"/>
    <w:rsid w:val="00A3461D"/>
    <w:rsid w:val="00A650D7"/>
    <w:rsid w:val="00B65F23"/>
    <w:rsid w:val="00B74CA1"/>
    <w:rsid w:val="00BF0F06"/>
    <w:rsid w:val="00C55724"/>
    <w:rsid w:val="00C70C63"/>
    <w:rsid w:val="00C7549E"/>
    <w:rsid w:val="00CC7005"/>
    <w:rsid w:val="00D40A95"/>
    <w:rsid w:val="00DA082B"/>
    <w:rsid w:val="00DC47AA"/>
    <w:rsid w:val="00E37FDC"/>
    <w:rsid w:val="00E70831"/>
    <w:rsid w:val="00E9254E"/>
    <w:rsid w:val="00F53A34"/>
    <w:rsid w:val="00F76463"/>
    <w:rsid w:val="00F87C02"/>
    <w:rsid w:val="00FA4F16"/>
    <w:rsid w:val="088E0DB5"/>
    <w:rsid w:val="0E0A19CE"/>
    <w:rsid w:val="2425476E"/>
    <w:rsid w:val="3D2F7C22"/>
    <w:rsid w:val="472032E4"/>
    <w:rsid w:val="5DEF6155"/>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p0"/>
    <w:basedOn w:val="1"/>
    <w:uiPriority w:val="0"/>
    <w:pPr>
      <w:widowControl/>
      <w:spacing w:line="365" w:lineRule="atLeast"/>
      <w:ind w:left="1"/>
      <w:textAlignment w:val="bottom"/>
    </w:pPr>
    <w:rPr>
      <w:rFonts w:ascii="Times New Roman" w:hAnsi="Times New Roman"/>
      <w:kern w:val="0"/>
      <w:sz w:val="20"/>
      <w:szCs w:val="20"/>
    </w:rPr>
  </w:style>
  <w:style w:type="character" w:customStyle="1" w:styleId="10">
    <w:name w:val="批注框文本 Char"/>
    <w:basedOn w:val="5"/>
    <w:link w:val="2"/>
    <w:semiHidden/>
    <w:qFormat/>
    <w:locked/>
    <w:uiPriority w:val="99"/>
    <w:rPr>
      <w:rFonts w:cs="Times New Roman"/>
      <w:sz w:val="2"/>
    </w:rPr>
  </w:style>
  <w:style w:type="character" w:customStyle="1" w:styleId="11">
    <w:name w:val="页脚 Char"/>
    <w:basedOn w:val="5"/>
    <w:link w:val="3"/>
    <w:semiHidden/>
    <w:qFormat/>
    <w:locked/>
    <w:uiPriority w:val="99"/>
    <w:rPr>
      <w:rFonts w:cs="Times New Roman"/>
      <w:sz w:val="18"/>
      <w:szCs w:val="18"/>
    </w:rPr>
  </w:style>
  <w:style w:type="character" w:customStyle="1" w:styleId="12">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AsWorld</Company>
  <Pages>5</Pages>
  <Words>295</Words>
  <Characters>1686</Characters>
  <Lines>14</Lines>
  <Paragraphs>3</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2019-04-01T03:47:31Z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